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64" w:rsidRPr="00225A29" w:rsidRDefault="00634C64" w:rsidP="00225A2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ИТОГИ НЕЗАВИСИМОЙ ОЦЕНКИ КАЧЕСТВА УСЛОВИЙ</w:t>
      </w:r>
    </w:p>
    <w:p w:rsidR="00C509F0" w:rsidRDefault="00634C64" w:rsidP="00225A2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ОСУЩЕСТВЛЕНИЯ ОБРАЗОВАТЕЛЬНОЙ ДЕЯТЕЛЬНОСТИ ОРГАНИЗАЦИЙ, ОСУЩЕСТВЛЯЮЩИХ ОБРАЗОВАТЕЛЬНУЮ ДЕЯТЕЛЬНОСТЬ</w:t>
      </w:r>
      <w:r w:rsidR="00225A29" w:rsidRPr="00225A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25A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ТОМСКОЙ ОБЛАСТИ В 2025 ГОДУ</w:t>
      </w:r>
      <w:r w:rsidR="00C509F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34C64" w:rsidRPr="00225A29" w:rsidRDefault="00C509F0" w:rsidP="00225A2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(СФЕРА ОБРАЗОВАНИЯ)</w:t>
      </w:r>
    </w:p>
    <w:p w:rsidR="00634C64" w:rsidRPr="00225A29" w:rsidRDefault="00634C64" w:rsidP="00225A2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22E3" w:rsidRPr="00225A29" w:rsidRDefault="001922E3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Независимая оценка качества условий оказания услуг организациями, осуществляющими образовательную деятельность, является одной из форм общественного контроля, которая направлена на получение сведений об образовательной деятельности организаций,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организаций.</w:t>
      </w:r>
    </w:p>
    <w:p w:rsidR="001922E3" w:rsidRPr="00225A29" w:rsidRDefault="001922E3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Сбор и обобщение информации в рамках проведения независимой оценки качества условий осуществления образовательной деятельности организаций, осуществляющих образовательную деятельност</w:t>
      </w:r>
      <w:r w:rsid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ь в Томской области</w:t>
      </w:r>
      <w:r w:rsidR="00D533E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проводились 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C849B5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</w:t>
      </w:r>
      <w:r w:rsidR="00C849B5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преля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r w:rsidR="00C849B5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04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849B5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июн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я 202</w:t>
      </w:r>
      <w:r w:rsidR="00C849B5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организацией-оператором </w:t>
      </w:r>
      <w:r w:rsidR="00C849B5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ООО ИЦ «НОВИ»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22E3" w:rsidRPr="00225A29" w:rsidRDefault="001922E3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В оцен</w:t>
      </w:r>
      <w:r w:rsid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очной процедуре </w:t>
      </w:r>
      <w:r w:rsidR="00D53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2025 году </w:t>
      </w:r>
      <w:r w:rsid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приняли участие </w:t>
      </w:r>
      <w:r w:rsidR="00C849B5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84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образовательны</w:t>
      </w:r>
      <w:r w:rsidR="00C849B5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организации</w:t>
      </w:r>
      <w:r w:rsid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 осуществляющи</w:t>
      </w:r>
      <w:r w:rsid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образовательную деятельность на терр</w:t>
      </w:r>
      <w:r w:rsid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итории Томской области, из них: </w:t>
      </w:r>
      <w:r w:rsidR="00C849B5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62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организаций </w:t>
      </w:r>
      <w:r w:rsidR="00C849B5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дополнительного образования детей (сфера образования), 13 организаций общего образования детей (государственные общеобразовательные организации)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и </w:t>
      </w:r>
      <w:r w:rsidR="00C849B5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9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  <w:r w:rsidR="006A759E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п</w:t>
      </w:r>
      <w:r w:rsidR="00C849B5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рофессиональны</w:t>
      </w:r>
      <w:r w:rsidR="006A759E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х</w:t>
      </w:r>
      <w:r w:rsidR="00C849B5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образовательны</w:t>
      </w:r>
      <w:r w:rsidR="006A759E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х </w:t>
      </w:r>
      <w:r w:rsidR="00C849B5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организаци</w:t>
      </w:r>
      <w:r w:rsidR="006A759E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й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509F0" w:rsidRDefault="00C509F0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22E3" w:rsidRPr="00225A29" w:rsidRDefault="001922E3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Независи</w:t>
      </w:r>
      <w:r w:rsid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мая оценка качества проводилась 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по 5 критериям:</w:t>
      </w:r>
    </w:p>
    <w:p w:rsidR="00C849B5" w:rsidRPr="00C509F0" w:rsidRDefault="001922E3" w:rsidP="00C509F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1. Открытость и доступность информации об организации образования.</w:t>
      </w:r>
    </w:p>
    <w:p w:rsidR="001922E3" w:rsidRPr="00C509F0" w:rsidRDefault="001922E3" w:rsidP="00C509F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2. Комфортность условий предоставления услуг</w:t>
      </w:r>
      <w:r w:rsidR="00C849B5" w:rsidRPr="00C509F0">
        <w:rPr>
          <w:rFonts w:ascii="PT Astra Serif" w:hAnsi="PT Astra Serif"/>
          <w:sz w:val="28"/>
          <w:szCs w:val="28"/>
        </w:rPr>
        <w:t xml:space="preserve"> </w:t>
      </w:r>
      <w:r w:rsidR="00C849B5"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предоставления услуг и доступность их получения</w:t>
      </w: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922E3" w:rsidRPr="00C509F0" w:rsidRDefault="001922E3" w:rsidP="00C509F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3. Доступность услуг для инвалидов.</w:t>
      </w:r>
    </w:p>
    <w:p w:rsidR="00C849B5" w:rsidRPr="00C509F0" w:rsidRDefault="001922E3" w:rsidP="00C509F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4. Доброжелательность, вежливость работников организации.</w:t>
      </w:r>
    </w:p>
    <w:p w:rsidR="001922E3" w:rsidRPr="00C509F0" w:rsidRDefault="001922E3" w:rsidP="00C509F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Критерий 5. </w:t>
      </w:r>
      <w:r w:rsidR="00C849B5"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Удовлетворенность качеством оказания услуг</w:t>
      </w: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509F0" w:rsidRDefault="001922E3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Основными </w:t>
      </w:r>
      <w:r w:rsidR="0087700E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методами сбора данных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качестве условий оказания услуг явились:</w:t>
      </w:r>
    </w:p>
    <w:p w:rsidR="00C509F0" w:rsidRPr="00C509F0" w:rsidRDefault="0087700E" w:rsidP="00C509F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анализ официальных сайтов </w:t>
      </w:r>
      <w:r w:rsidR="00D533E9"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</w:t>
      </w:r>
      <w:r w:rsidR="00D533E9">
        <w:rPr>
          <w:rFonts w:ascii="PT Astra Serif" w:eastAsia="Times New Roman" w:hAnsi="PT Astra Serif" w:cs="Times New Roman"/>
          <w:sz w:val="28"/>
          <w:szCs w:val="28"/>
          <w:lang w:eastAsia="ru-RU"/>
        </w:rPr>
        <w:t>тельных</w:t>
      </w:r>
      <w:r w:rsidR="00D533E9"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организаций в информационно-коммуникационной сети «Интернет», информационных стендов и иных открытых инфор</w:t>
      </w:r>
      <w:r w:rsidR="00C509F0"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мационных ресурсов организаций;</w:t>
      </w:r>
    </w:p>
    <w:p w:rsidR="0087700E" w:rsidRPr="00C509F0" w:rsidRDefault="0087700E" w:rsidP="00C509F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 нормативных правовых актов по вопросам деятельности организации и порядку оказания ими услуг в сфере образования;</w:t>
      </w:r>
    </w:p>
    <w:p w:rsidR="0087700E" w:rsidRPr="00C509F0" w:rsidRDefault="0087700E" w:rsidP="00C509F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опрос получателей услуг.</w:t>
      </w:r>
    </w:p>
    <w:p w:rsidR="00C509F0" w:rsidRDefault="001922E3" w:rsidP="00C509F0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Выборочная совокупность</w:t>
      </w:r>
      <w:r w:rsidR="0087700E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граждан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, приняв</w:t>
      </w:r>
      <w:r w:rsid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ших участие в опросе, составила 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7700E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респондентов, из числа:</w:t>
      </w:r>
    </w:p>
    <w:p w:rsidR="00C509F0" w:rsidRPr="00C509F0" w:rsidRDefault="001922E3" w:rsidP="00C509F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обучающихся образовательных организаций (в возрасте старше 14 лет);</w:t>
      </w:r>
    </w:p>
    <w:p w:rsidR="001922E3" w:rsidRPr="00C509F0" w:rsidRDefault="001922E3" w:rsidP="00C509F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>родителей (законных представителей) обучающихся (воспитанников) образовательных организаций Томской области.</w:t>
      </w:r>
    </w:p>
    <w:p w:rsidR="001922E3" w:rsidRPr="00225A29" w:rsidRDefault="001922E3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К организации и выполнению работ были привлечены сотрудники, имеющие обширный опыт работы по сбору, обобщению и анализу информации о качестве условий оказания услуг организациями, осуществляющими образовательную деятельность.</w:t>
      </w:r>
    </w:p>
    <w:p w:rsid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C509F0" w:rsidRDefault="001922E3" w:rsidP="00C509F0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сбора и обобщения информации позволяют сделать общий вывод о том, что большинство получателей услуг удовлетворены условиями оказания услуг </w:t>
      </w:r>
      <w:r w:rsidR="00D533E9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</w:t>
      </w:r>
      <w:r w:rsidR="00D533E9">
        <w:rPr>
          <w:rFonts w:ascii="PT Astra Serif" w:eastAsia="Times New Roman" w:hAnsi="PT Astra Serif" w:cs="Times New Roman"/>
          <w:sz w:val="28"/>
          <w:szCs w:val="28"/>
          <w:lang w:eastAsia="ru-RU"/>
        </w:rPr>
        <w:t>тельными</w:t>
      </w:r>
      <w:r w:rsidR="00D533E9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организациями на территории Томской области </w:t>
      </w:r>
      <w:r w:rsidRPr="00225A2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(средний балл итогового показателя по всем организациям – </w:t>
      </w:r>
      <w:r w:rsidR="0087700E" w:rsidRPr="00225A29">
        <w:rPr>
          <w:rFonts w:ascii="PT Astra Serif" w:eastAsia="Times New Roman" w:hAnsi="PT Astra Serif" w:cs="Times New Roman"/>
          <w:i/>
          <w:iCs/>
          <w:sz w:val="28"/>
          <w:szCs w:val="28"/>
          <w:u w:val="single"/>
          <w:lang w:eastAsia="ru-RU"/>
        </w:rPr>
        <w:t>92,65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u w:val="single"/>
          <w:lang w:eastAsia="ru-RU"/>
        </w:rPr>
        <w:t xml:space="preserve"> балла из 100 возможных</w:t>
      </w:r>
      <w:r w:rsidRPr="00225A2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).</w:t>
      </w:r>
    </w:p>
    <w:p w:rsidR="001922E3" w:rsidRPr="00C509F0" w:rsidRDefault="001922E3" w:rsidP="00C509F0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u w:val="single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Высокими оценками были отмечены следующие критерии:</w:t>
      </w:r>
    </w:p>
    <w:p w:rsidR="001922E3" w:rsidRPr="00225A29" w:rsidRDefault="001922E3" w:rsidP="00C509F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1 «</w:t>
      </w:r>
      <w:r w:rsidR="0087700E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Открытость и доступность информации об организации образования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» (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9</w:t>
      </w:r>
      <w:r w:rsidR="0087700E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8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,8</w:t>
      </w:r>
      <w:r w:rsidR="0087700E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2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балла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1922E3" w:rsidRPr="00225A29" w:rsidRDefault="001922E3" w:rsidP="00C509F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2 «</w:t>
      </w:r>
      <w:r w:rsidR="0087700E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Комфортность условий предоставления услуг предоставления услуг и доступность их получения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» (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9</w:t>
      </w:r>
      <w:r w:rsidR="0087700E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7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,</w:t>
      </w:r>
      <w:r w:rsidR="0087700E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62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балла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1922E3" w:rsidRPr="00225A29" w:rsidRDefault="001922E3" w:rsidP="00C509F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4 «</w:t>
      </w:r>
      <w:r w:rsidR="0087700E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Доброжелательность, вежливость работников организации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» (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9</w:t>
      </w:r>
      <w:r w:rsidR="0087700E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8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,</w:t>
      </w:r>
      <w:r w:rsidR="0087700E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11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балла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1922E3" w:rsidRPr="00225A29" w:rsidRDefault="001922E3" w:rsidP="00C509F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критерий 5 «</w:t>
      </w:r>
      <w:r w:rsidR="00C853E2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Удовлетворенность качеством оказания услуг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» (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9</w:t>
      </w:r>
      <w:r w:rsidR="00C853E2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7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,</w:t>
      </w:r>
      <w:r w:rsidR="00C853E2"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2</w:t>
      </w:r>
      <w:r w:rsidRPr="00225A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балла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C509F0" w:rsidRDefault="00C509F0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результатам анализа общих критериев выявлено, что ряд проблем в деятельности организаций связан с доступностью услуг для инвалидов (71,51 балла). </w:t>
      </w:r>
    </w:p>
    <w:p w:rsidR="00C509F0" w:rsidRDefault="00C509F0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853E2" w:rsidRPr="00225A29" w:rsidRDefault="00C853E2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Рейтинг организаций.</w:t>
      </w:r>
    </w:p>
    <w:p w:rsidR="00C853E2" w:rsidRPr="00225A29" w:rsidRDefault="00C853E2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Наибольший результат 99,84 балла набрало МБУ ДО «Детский </w:t>
      </w:r>
      <w:proofErr w:type="spellStart"/>
      <w:r w:rsidRPr="00225A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эколого</w:t>
      </w:r>
      <w:proofErr w:type="spellEnd"/>
      <w:r w:rsidR="00D533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25A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- биологический центр» (Колпашевский район).</w:t>
      </w:r>
    </w:p>
    <w:p w:rsid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Рейтинг организаций дополнительного образования детей (сфера образования): 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 место: МБУ ДО «Детский эколого-биологический центр» (Колпашевский район) – 99,84 балла.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2 место: МОУДО «Центр дополнительного образования детей городского округа Стрежевой» - 99,7 балла.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3 место: МБУ ДО «</w:t>
      </w:r>
      <w:proofErr w:type="spellStart"/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Парабельская</w:t>
      </w:r>
      <w:proofErr w:type="spellEnd"/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спортивная школа» - 98,54 балла.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Средний балл итогового показателя среди организаций дополнительного образования детей составляет 92,76 балла.</w:t>
      </w:r>
    </w:p>
    <w:p w:rsid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853E2" w:rsidRPr="00225A29" w:rsidRDefault="00C853E2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Рейтинг организаций </w:t>
      </w:r>
      <w:r w:rsidR="006A759E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общего образования детей (государственные общеобразовательные организации)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</w:p>
    <w:p w:rsidR="00C853E2" w:rsidRPr="00225A29" w:rsidRDefault="006A759E" w:rsidP="00225A2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 место: </w:t>
      </w:r>
      <w:r w:rsidR="00EE661F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ОГБОУ «Школа-интернат для обучающихся с нарушениями зрения»</w:t>
      </w:r>
      <w:r w:rsidR="00C853E2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9</w:t>
      </w:r>
      <w:r w:rsidR="00B44E78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C853E2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B44E78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C853E2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балла.</w:t>
      </w:r>
    </w:p>
    <w:p w:rsidR="00C853E2" w:rsidRPr="00225A29" w:rsidRDefault="006A759E" w:rsidP="00225A2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 место: </w:t>
      </w:r>
      <w:r w:rsidR="00EE661F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ОГБОУ «Школа-интернат для обучающихся с нарушениями слуха»</w:t>
      </w:r>
      <w:r w:rsidR="00C853E2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="00B44E78">
        <w:rPr>
          <w:rFonts w:ascii="PT Astra Serif" w:eastAsia="Times New Roman" w:hAnsi="PT Astra Serif" w:cs="Times New Roman"/>
          <w:sz w:val="28"/>
          <w:szCs w:val="28"/>
          <w:lang w:eastAsia="ru-RU"/>
        </w:rPr>
        <w:t>98,02</w:t>
      </w:r>
      <w:r w:rsidR="00C853E2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балла.</w:t>
      </w:r>
    </w:p>
    <w:p w:rsidR="00C853E2" w:rsidRPr="00225A29" w:rsidRDefault="006A759E" w:rsidP="00225A2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 место: </w:t>
      </w:r>
      <w:r w:rsidR="00EE661F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ОГБОУ «Томский физико-технический лицей»</w:t>
      </w:r>
      <w:r w:rsidR="00C853E2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- 9</w:t>
      </w:r>
      <w:r w:rsidR="00EE661F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C853E2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EE661F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C853E2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4 балла.</w:t>
      </w:r>
    </w:p>
    <w:p w:rsidR="00C853E2" w:rsidRPr="00225A29" w:rsidRDefault="00C853E2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Средний балл итогового показателя среди</w:t>
      </w:r>
      <w:r w:rsidR="006A759E" w:rsidRPr="00225A29">
        <w:rPr>
          <w:rFonts w:ascii="PT Astra Serif" w:hAnsi="PT Astra Serif"/>
          <w:i/>
          <w:sz w:val="28"/>
          <w:szCs w:val="28"/>
        </w:rPr>
        <w:t xml:space="preserve"> </w:t>
      </w:r>
      <w:r w:rsidR="006A759E" w:rsidRPr="00225A29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организаций </w:t>
      </w:r>
      <w:r w:rsidR="00EE661F" w:rsidRPr="00225A29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общего образования детей (государственные общеобразовательные организации)</w:t>
      </w:r>
      <w:r w:rsidR="006A759E" w:rsidRPr="00225A29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составляет 92,</w:t>
      </w:r>
      <w:r w:rsidR="00EE661F" w:rsidRPr="00225A29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38</w:t>
      </w:r>
      <w:r w:rsidR="006A759E" w:rsidRPr="00225A29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балла.</w:t>
      </w:r>
    </w:p>
    <w:p w:rsidR="00C509F0" w:rsidRDefault="00C509F0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Рейтинг профессиональных образовательных организаций: 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 место: ОГБПОУ «Асиновский техникум промышленной индустрии и сервиса» – 97,44 балла.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2 место: ОГБПОУ «Томский техникум социальных технологий» - 94,58 балла.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3 место: ОГБПОУ «Кривошеинский агропромышленный техникум» - 94,28 балла.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Средний балл итогового показателя среди профессиональных образовательных организаций составляет 92,34 балла.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661F" w:rsidRPr="004A6CA8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6C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30 образовательных организаций получили максимальное количество баллов (100) по отдельным критериям. </w:t>
      </w:r>
    </w:p>
    <w:p w:rsidR="00EE661F" w:rsidRPr="00C509F0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Организации дополнительного образования детей (сфера образования):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МБУ ДО «Детский эколого-биологический центр» (Колпашевский район) - 100 баллов по 3 критериям.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МОУДО «Центр дополнительного образования детей городского округа Стрежевой»</w:t>
      </w:r>
      <w:r w:rsidR="00042C86" w:rsidRPr="00225A29">
        <w:rPr>
          <w:rFonts w:ascii="PT Astra Serif" w:hAnsi="PT Astra Serif"/>
          <w:sz w:val="28"/>
          <w:szCs w:val="28"/>
        </w:rPr>
        <w:t xml:space="preserve">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критериям.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МБУ ДО «</w:t>
      </w:r>
      <w:proofErr w:type="spellStart"/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Парабельская</w:t>
      </w:r>
      <w:proofErr w:type="spellEnd"/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спортивная школа»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МАОУ ДО Дом детства и юношества «Факел» г. Томска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ДО «Центр дополнительного образования для детей» (Первомайский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район) 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критериям.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МАОУ ДО Центр дополнительного образования «Планирование карьеры» г. Томска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МАОУ ДО Детско-юношеский центр «Синяя птица» г. Томска</w:t>
      </w:r>
      <w:r w:rsidR="00D53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МАОУ ДО - Центр творчества детей и молодежи города Асино Томской области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- 100 баллов по 3 критериям.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ДО «Детская музыкальная школа» Томского района</w:t>
      </w:r>
      <w:r w:rsidR="00D53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критериям.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МКУ ДО «Центр детского творчества» (Шегарский район)</w:t>
      </w:r>
      <w:r w:rsidR="00042C86" w:rsidRPr="00225A29">
        <w:rPr>
          <w:rFonts w:ascii="PT Astra Serif" w:hAnsi="PT Astra Serif"/>
          <w:sz w:val="28"/>
          <w:szCs w:val="28"/>
        </w:rPr>
        <w:t xml:space="preserve">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МАОУ ДО Детский оздоровительно-образовательный (профильный) центр «Юниор» г. Томска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критериям.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МАОУ ДО Дом детского</w:t>
      </w:r>
      <w:r w:rsidR="00D53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творчества «Искорка» г. Томска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- 100 баллов по 3 критериям.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МБУ ДО «Детско-юношеский центр» (Колпашевский район)</w:t>
      </w:r>
      <w:r w:rsidR="00042C86" w:rsidRPr="00225A29">
        <w:rPr>
          <w:rFonts w:ascii="PT Astra Serif" w:hAnsi="PT Astra Serif"/>
          <w:sz w:val="28"/>
          <w:szCs w:val="28"/>
        </w:rPr>
        <w:t xml:space="preserve">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МАОУ ДО Центр детского творчества «Луч» г. Томска</w:t>
      </w:r>
      <w:r w:rsidR="00D53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критериям.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МАОУ ДО Дом детского творчества «Созвездие» г. Томска</w:t>
      </w:r>
      <w:r w:rsidR="00D53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ДО «Бакчарский Центр дополнительного образования»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ДО «Каргасокский дом детского творчества»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МАОУ ДО «Дом детского творчества» (Зырянский район)</w:t>
      </w:r>
      <w:r w:rsidR="00042C86" w:rsidRPr="00225A29">
        <w:rPr>
          <w:rFonts w:ascii="PT Astra Serif" w:hAnsi="PT Astra Serif"/>
          <w:sz w:val="28"/>
          <w:szCs w:val="28"/>
        </w:rPr>
        <w:t xml:space="preserve">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МАОУ ДО Центр сибирского фольклора г. Томска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МКУ ДО «Тегульдетская спортивная школа»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критериям.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МКОУ ДО «Кожевниковская районная детско-юношеская спортивная школа имени Николая Ивановича </w:t>
      </w:r>
      <w:proofErr w:type="spellStart"/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Вакурина</w:t>
      </w:r>
      <w:proofErr w:type="spellEnd"/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42C86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МКУ ДО «Дом детского творчества» (Тегульдетский район)</w:t>
      </w:r>
      <w:r w:rsidR="00042C86" w:rsidRPr="00225A29">
        <w:rPr>
          <w:rFonts w:ascii="PT Astra Serif" w:hAnsi="PT Astra Serif"/>
          <w:sz w:val="28"/>
          <w:szCs w:val="28"/>
        </w:rPr>
        <w:t xml:space="preserve">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МКОУ ДО «</w:t>
      </w:r>
      <w:proofErr w:type="spellStart"/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Парбигская</w:t>
      </w:r>
      <w:proofErr w:type="spellEnd"/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детская музыкальная школа» (Бакчарский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район) </w:t>
      </w:r>
      <w:r w:rsidR="00042C86" w:rsidRPr="00225A29">
        <w:rPr>
          <w:rFonts w:ascii="PT Astra Serif" w:hAnsi="PT Astra Serif"/>
          <w:sz w:val="28"/>
          <w:szCs w:val="28"/>
        </w:rPr>
        <w:t>-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100 баллов по </w:t>
      </w:r>
      <w:r w:rsidR="008B7237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критериям.</w:t>
      </w:r>
    </w:p>
    <w:p w:rsidR="00EE661F" w:rsidRPr="00225A29" w:rsidRDefault="00EE661F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МАОУ ДО «Спортивная школа» </w:t>
      </w:r>
      <w:r w:rsidR="009826DC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Зырянск</w:t>
      </w:r>
      <w:r w:rsidR="009826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ий район) 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- 100 баллов по </w:t>
      </w:r>
      <w:r w:rsidR="00225A29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</w:t>
      </w:r>
      <w:r w:rsidR="00225A29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42C86"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A759E" w:rsidRPr="00C509F0" w:rsidRDefault="00042C86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Организации общего образования детей (государственные общеобразовательные организации):</w:t>
      </w:r>
    </w:p>
    <w:p w:rsidR="00042C86" w:rsidRPr="00225A29" w:rsidRDefault="00042C86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ОГБОУ «Школа-интернат для обучающихся с нарушениями зрения»</w:t>
      </w:r>
      <w:r w:rsidRPr="00225A29">
        <w:rPr>
          <w:rFonts w:ascii="PT Astra Serif" w:hAnsi="PT Astra Serif"/>
          <w:sz w:val="28"/>
          <w:szCs w:val="28"/>
        </w:rPr>
        <w:t xml:space="preserve"> 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- 100 баллов по 2 критериям.</w:t>
      </w:r>
    </w:p>
    <w:p w:rsidR="00042C86" w:rsidRPr="00225A29" w:rsidRDefault="00042C86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ОГБОУ «Томский физико-технический лицей»</w:t>
      </w:r>
      <w:r w:rsidRPr="00225A29">
        <w:rPr>
          <w:rFonts w:ascii="PT Astra Serif" w:hAnsi="PT Astra Serif"/>
          <w:sz w:val="28"/>
          <w:szCs w:val="28"/>
        </w:rPr>
        <w:t xml:space="preserve"> 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- 100 баллов по 1 критерию.</w:t>
      </w:r>
    </w:p>
    <w:p w:rsidR="00042C86" w:rsidRPr="00225A29" w:rsidRDefault="00042C86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ОГБОУ «Шегарская школа-интернат для обучающихся с ограниченными возможностями здоровья»</w:t>
      </w:r>
      <w:r w:rsidRPr="00225A29">
        <w:rPr>
          <w:rFonts w:ascii="PT Astra Serif" w:hAnsi="PT Astra Serif"/>
          <w:sz w:val="28"/>
          <w:szCs w:val="28"/>
        </w:rPr>
        <w:t xml:space="preserve"> 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- 100 баллов по 1 критерию.</w:t>
      </w:r>
    </w:p>
    <w:p w:rsidR="00042C86" w:rsidRPr="00225A29" w:rsidRDefault="00042C86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ОГБОУ «Моряковская школа-интернат для обучающихся с ограниченными возможностями здоровья»</w:t>
      </w:r>
      <w:r w:rsidRPr="00225A29">
        <w:rPr>
          <w:rFonts w:ascii="PT Astra Serif" w:hAnsi="PT Astra Serif"/>
          <w:sz w:val="28"/>
          <w:szCs w:val="28"/>
        </w:rPr>
        <w:t xml:space="preserve"> 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- 100 баллов по 1 критерию.</w:t>
      </w:r>
    </w:p>
    <w:p w:rsidR="006A759E" w:rsidRPr="00225A29" w:rsidRDefault="00042C86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ОГБОУ «Александровская школа-интернат»</w:t>
      </w:r>
      <w:r w:rsidRPr="00225A29">
        <w:rPr>
          <w:rFonts w:ascii="PT Astra Serif" w:hAnsi="PT Astra Serif"/>
          <w:sz w:val="28"/>
          <w:szCs w:val="28"/>
        </w:rPr>
        <w:t xml:space="preserve"> </w:t>
      </w: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- 100 баллов по 1 критерию.</w:t>
      </w:r>
    </w:p>
    <w:p w:rsidR="00042C86" w:rsidRPr="00C509F0" w:rsidRDefault="00042C86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C509F0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Профессиональная образовательная организация: </w:t>
      </w:r>
    </w:p>
    <w:p w:rsidR="00042C86" w:rsidRPr="00225A29" w:rsidRDefault="00042C86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>ОГБПОУ «Томский лесотехнический техникум»</w:t>
      </w:r>
      <w:bookmarkStart w:id="0" w:name="_GoBack"/>
      <w:bookmarkEnd w:id="0"/>
      <w:r w:rsidRPr="00225A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- 100 баллов по 4 критериям.</w:t>
      </w:r>
    </w:p>
    <w:p w:rsid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225A29" w:rsidRP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Arial"/>
          <w:sz w:val="28"/>
          <w:szCs w:val="28"/>
          <w:lang w:eastAsia="ru-RU"/>
        </w:rPr>
        <w:t>Основными недостатками по части организаций, принявших участие в сборе, обобщении и анализе информации о качестве условий оказания услуг организациями, осуществляющими образовательную деятельность, являются:</w:t>
      </w:r>
    </w:p>
    <w:p w:rsidR="00225A29" w:rsidRP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1. Несоответствие информации о деятельности образовательных организаций, размещенной на официальных сайтах образовательных организаций, ее содержанию и порядку (форме), установленным нормативными правовыми актами (правилам размещения на официальном сайте образовательной организации в сети "Интернет" и обновления </w:t>
      </w:r>
      <w:r w:rsidRPr="00225A29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 xml:space="preserve">информации об образовательной организации, утвержденным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</w:r>
      <w:proofErr w:type="spellStart"/>
      <w:r w:rsidRPr="00225A29">
        <w:rPr>
          <w:rFonts w:ascii="PT Astra Serif" w:eastAsia="Times New Roman" w:hAnsi="PT Astra Serif" w:cs="Arial"/>
          <w:sz w:val="28"/>
          <w:szCs w:val="28"/>
          <w:lang w:eastAsia="ru-RU"/>
        </w:rPr>
        <w:t>Рособрнадзора</w:t>
      </w:r>
      <w:proofErr w:type="spellEnd"/>
      <w:r w:rsidRPr="00225A29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от 04 августа 2023 № 1493).</w:t>
      </w:r>
    </w:p>
    <w:p w:rsidR="00225A29" w:rsidRP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Arial"/>
          <w:sz w:val="28"/>
          <w:szCs w:val="28"/>
          <w:lang w:eastAsia="ru-RU"/>
        </w:rPr>
        <w:t>2. Помещения образовательных организаций и прилегающих к ним территорий недостаточно оборудованы с учетом доступности для инвалидов.</w:t>
      </w:r>
    </w:p>
    <w:p w:rsidR="00225A29" w:rsidRP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25A29">
        <w:rPr>
          <w:rFonts w:ascii="PT Astra Serif" w:eastAsia="Times New Roman" w:hAnsi="PT Astra Serif" w:cs="Arial"/>
          <w:sz w:val="28"/>
          <w:szCs w:val="28"/>
          <w:lang w:eastAsia="ru-RU"/>
        </w:rPr>
        <w:t>3. В образовательных организациях недостаточные условия доступности, позволяющих инвалидам получать услуги наравне с другими.</w:t>
      </w:r>
    </w:p>
    <w:p w:rsidR="00225A29" w:rsidRPr="00225A29" w:rsidRDefault="00225A29" w:rsidP="00225A2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C509F0" w:rsidRDefault="001922E3" w:rsidP="00C509F0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5A29">
        <w:rPr>
          <w:rFonts w:ascii="PT Astra Serif" w:eastAsia="Times New Roman" w:hAnsi="PT Astra Serif" w:cs="Arial"/>
          <w:sz w:val="28"/>
          <w:szCs w:val="28"/>
          <w:lang w:eastAsia="ru-RU"/>
        </w:rPr>
        <w:t> </w:t>
      </w:r>
      <w:r w:rsidR="00225A29" w:rsidRPr="00225A29">
        <w:rPr>
          <w:rFonts w:ascii="PT Astra Serif" w:hAnsi="PT Astra Serif"/>
          <w:sz w:val="28"/>
          <w:szCs w:val="28"/>
        </w:rPr>
        <w:t xml:space="preserve">Основными направлениями улучшения показателей организаций Томской области, осуществляющими образовательную деятельность, являются: </w:t>
      </w:r>
    </w:p>
    <w:p w:rsidR="00C509F0" w:rsidRDefault="00C509F0" w:rsidP="00C509F0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25A29" w:rsidRPr="00225A29">
        <w:rPr>
          <w:rFonts w:ascii="PT Astra Serif" w:hAnsi="PT Astra Serif"/>
          <w:sz w:val="28"/>
          <w:szCs w:val="28"/>
        </w:rPr>
        <w:t xml:space="preserve">совершенствование работы сайтов образовательных организаций, своевременное обновление и наполнение необходимой информацией в соответствии с правилами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20 октября 2021 г. № 1802, и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</w:t>
      </w:r>
      <w:proofErr w:type="spellStart"/>
      <w:r w:rsidR="00225A29" w:rsidRPr="00225A29">
        <w:rPr>
          <w:rFonts w:ascii="PT Astra Serif" w:hAnsi="PT Astra Serif"/>
          <w:sz w:val="28"/>
          <w:szCs w:val="28"/>
        </w:rPr>
        <w:t>Рособрнадзора</w:t>
      </w:r>
      <w:proofErr w:type="spellEnd"/>
      <w:r w:rsidR="00225A29" w:rsidRPr="00225A29">
        <w:rPr>
          <w:rFonts w:ascii="PT Astra Serif" w:hAnsi="PT Astra Serif"/>
          <w:sz w:val="28"/>
          <w:szCs w:val="28"/>
        </w:rPr>
        <w:t xml:space="preserve"> от 04 августа 2023 </w:t>
      </w:r>
      <w:r w:rsidR="00561680">
        <w:rPr>
          <w:rFonts w:ascii="PT Astra Serif" w:hAnsi="PT Astra Serif"/>
          <w:sz w:val="28"/>
          <w:szCs w:val="28"/>
        </w:rPr>
        <w:t xml:space="preserve">года </w:t>
      </w:r>
      <w:r w:rsidR="00225A29" w:rsidRPr="00225A29">
        <w:rPr>
          <w:rFonts w:ascii="PT Astra Serif" w:hAnsi="PT Astra Serif"/>
          <w:sz w:val="28"/>
          <w:szCs w:val="28"/>
        </w:rPr>
        <w:t xml:space="preserve">№ 1493; </w:t>
      </w:r>
    </w:p>
    <w:p w:rsidR="00C509F0" w:rsidRDefault="00C509F0" w:rsidP="00C509F0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25A29" w:rsidRPr="00225A29">
        <w:rPr>
          <w:rFonts w:ascii="PT Astra Serif" w:hAnsi="PT Astra Serif"/>
          <w:sz w:val="28"/>
          <w:szCs w:val="28"/>
        </w:rPr>
        <w:t xml:space="preserve">обеспечение наличия на официальных сайтах достоверной, полной и актуальной информации, определение периодичности обновления и графика представления данных на сайты образовательных организаций; </w:t>
      </w:r>
    </w:p>
    <w:p w:rsidR="00C509F0" w:rsidRDefault="00C509F0" w:rsidP="00C509F0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25A29" w:rsidRPr="00225A29">
        <w:rPr>
          <w:rFonts w:ascii="PT Astra Serif" w:hAnsi="PT Astra Serif"/>
          <w:sz w:val="28"/>
          <w:szCs w:val="28"/>
        </w:rPr>
        <w:t xml:space="preserve">повышение комфортности условий обучения и воспитания, в том числе обучающихся с ОВЗ и инвалидов, оборудование помещений образовательных организаций и прилегающих к ним территорий с учетом доступности для инвалидов, обеспечение в образовательных организациях условий доступности, позволяющих инвалидам получать услуги наравне с другими; </w:t>
      </w:r>
    </w:p>
    <w:p w:rsidR="00C509F0" w:rsidRDefault="00C509F0" w:rsidP="00C509F0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25A29" w:rsidRPr="00225A29">
        <w:rPr>
          <w:rFonts w:ascii="PT Astra Serif" w:hAnsi="PT Astra Serif"/>
          <w:sz w:val="28"/>
          <w:szCs w:val="28"/>
        </w:rPr>
        <w:t>активизация взаимодействия с родительской общественностью и формирование у родителей привычки получения информации на сайтах и стендах образовательных организаций</w:t>
      </w:r>
      <w:r>
        <w:rPr>
          <w:rFonts w:ascii="PT Astra Serif" w:hAnsi="PT Astra Serif"/>
          <w:sz w:val="28"/>
          <w:szCs w:val="28"/>
        </w:rPr>
        <w:t>;</w:t>
      </w:r>
    </w:p>
    <w:p w:rsidR="00225A29" w:rsidRDefault="00C509F0" w:rsidP="00C509F0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25A29" w:rsidRPr="00225A29">
        <w:rPr>
          <w:rFonts w:ascii="PT Astra Serif" w:hAnsi="PT Astra Serif"/>
          <w:sz w:val="28"/>
          <w:szCs w:val="28"/>
        </w:rPr>
        <w:t>осуществление с определенной периодичностью мониторинга удовлетворенности получателей услуг из числа обучающихся (воспитанников), а также родителей (законных представителей получателей услуг) качеством образовательной деятельности</w:t>
      </w:r>
      <w:r w:rsidR="00D533E9">
        <w:rPr>
          <w:rFonts w:ascii="PT Astra Serif" w:hAnsi="PT Astra Serif"/>
          <w:sz w:val="28"/>
          <w:szCs w:val="28"/>
        </w:rPr>
        <w:t>.</w:t>
      </w:r>
      <w:r w:rsidR="00225A29" w:rsidRPr="00225A29">
        <w:rPr>
          <w:rFonts w:ascii="PT Astra Serif" w:hAnsi="PT Astra Serif"/>
          <w:sz w:val="28"/>
          <w:szCs w:val="28"/>
        </w:rPr>
        <w:t xml:space="preserve"> </w:t>
      </w:r>
    </w:p>
    <w:p w:rsidR="004C5B3C" w:rsidRPr="00225A29" w:rsidRDefault="00225A29" w:rsidP="00225A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5A29">
        <w:rPr>
          <w:rFonts w:ascii="PT Astra Serif" w:hAnsi="PT Astra Serif"/>
          <w:sz w:val="28"/>
          <w:szCs w:val="28"/>
        </w:rPr>
        <w:t>Образовательным организациям следует вести целенаправленную и системную работу по привлечению активных пользователей сайтов образовательных организаций, способствовать воспитанию информационной культуры, как родителей, так и обучающихся.</w:t>
      </w:r>
    </w:p>
    <w:sectPr w:rsidR="004C5B3C" w:rsidRPr="0022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1AC3"/>
    <w:multiLevelType w:val="multilevel"/>
    <w:tmpl w:val="C7DA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1789B"/>
    <w:multiLevelType w:val="multilevel"/>
    <w:tmpl w:val="2630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76F6D"/>
    <w:multiLevelType w:val="multilevel"/>
    <w:tmpl w:val="E04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37D40"/>
    <w:multiLevelType w:val="multilevel"/>
    <w:tmpl w:val="9D7A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277B3"/>
    <w:multiLevelType w:val="hybridMultilevel"/>
    <w:tmpl w:val="A7E6B974"/>
    <w:lvl w:ilvl="0" w:tplc="04190011">
      <w:start w:val="1"/>
      <w:numFmt w:val="decimal"/>
      <w:lvlText w:val="%1)"/>
      <w:lvlJc w:val="left"/>
      <w:pPr>
        <w:ind w:left="1533" w:hanging="360"/>
      </w:p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5" w15:restartNumberingAfterBreak="0">
    <w:nsid w:val="3C4E2DA2"/>
    <w:multiLevelType w:val="hybridMultilevel"/>
    <w:tmpl w:val="CA407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668DF"/>
    <w:multiLevelType w:val="hybridMultilevel"/>
    <w:tmpl w:val="1A7AF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07A7248"/>
    <w:multiLevelType w:val="hybridMultilevel"/>
    <w:tmpl w:val="1CEA89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0B93703"/>
    <w:multiLevelType w:val="multilevel"/>
    <w:tmpl w:val="6AB2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87045B"/>
    <w:multiLevelType w:val="multilevel"/>
    <w:tmpl w:val="B1A4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5E"/>
    <w:rsid w:val="00042C86"/>
    <w:rsid w:val="001922E3"/>
    <w:rsid w:val="00225A29"/>
    <w:rsid w:val="002E5A2E"/>
    <w:rsid w:val="004A6CA8"/>
    <w:rsid w:val="004C5B3C"/>
    <w:rsid w:val="00561680"/>
    <w:rsid w:val="00634C64"/>
    <w:rsid w:val="006A759E"/>
    <w:rsid w:val="0087700E"/>
    <w:rsid w:val="008B7237"/>
    <w:rsid w:val="009826DC"/>
    <w:rsid w:val="00A27565"/>
    <w:rsid w:val="00B44E78"/>
    <w:rsid w:val="00C509F0"/>
    <w:rsid w:val="00C849B5"/>
    <w:rsid w:val="00C853E2"/>
    <w:rsid w:val="00D533E9"/>
    <w:rsid w:val="00EE661F"/>
    <w:rsid w:val="00F54AF4"/>
    <w:rsid w:val="00F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C6694-DD73-4BE7-B411-595281CE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9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Коноплева Татьяна Петровна</dc:creator>
  <cp:keywords/>
  <dc:description/>
  <cp:lastModifiedBy>Коноплева Татьяна Петровна</cp:lastModifiedBy>
  <cp:revision>12</cp:revision>
  <cp:lastPrinted>2025-09-12T07:56:00Z</cp:lastPrinted>
  <dcterms:created xsi:type="dcterms:W3CDTF">2025-09-12T03:34:00Z</dcterms:created>
  <dcterms:modified xsi:type="dcterms:W3CDTF">2025-09-15T04:06:00Z</dcterms:modified>
</cp:coreProperties>
</file>